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Bagnat, Juan C. c. Gobierno nacional -Est. Mayor Gral. Naval s/ Retiro.</w:t>
      </w:r>
    </w:p>
    <w:p w:rsidR="00000000" w:rsidDel="00000000" w:rsidP="00000000" w:rsidRDefault="00000000" w:rsidRPr="00000000" w14:paraId="00000002">
      <w:pPr>
        <w:spacing w:after="240" w:before="240" w:lineRule="auto"/>
        <w:jc w:val="both"/>
        <w:rPr/>
      </w:pP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rtl w:val="0"/>
        </w:rPr>
        <w:t xml:space="preserve">Opinión del Procurador General de la Nación</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Contra la sentencia de la sala I de la Cámara Nacional de Apelaciones en lo Contenciosoadministrativo Federal, que revocó la de primera instancia y rechazó la demanda, dedujo el actor recurso extraordinario, el que fue concedido a fs. 442.</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Para arribar a la decisión que se impugna, sostuvo el a quo que la accionada había opuesto como defensa de fondo en su contestación de fs. 94/98, la caducidad de la acción por haber vencido el plazo previsto en el art. 25 de la ley 19.549, cuestión cuyo tratamiento fue diferido por el juez de grado hasta el dictado de la sentencia definitiva sin que, finalmente en esa oportunidad fuera abordado.</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Al margen de señalar que temas de esa naturaleza debían resolverse como excepción de previo y especial pronunciamiento, entendió la cámara que atento el agravio formulado a ese respecto por la accionada, cabía su tratamiento en aquella sede.</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Al respecto, afirmó que si bien la doctrina sentada en el fallo plenario "Astarida" limitaba la aplicación del plazo de caducidad previsto por el art. 25 de la ley de procedimientos administrativos, a los actos emanados de los organismos militares, policiales y de seguridad por los cuales se apliquen sanciones disciplinarias a sus agentes, situación que no se daba en la especie, idénticas razones de justicia y conveniencia a las invocadas por la mayoría en el plenario citado, aconsejaban adoptar la misma solución.</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Añadió en punto a ello, que correspondía interpretar en forma extensiva el art. 2°, inc. a), de la ley 19.549 en cuanto dispone la aplicación supletoria de sus normas a las tramitaciones administrativas contempladas por regímenes especiales, de modo que alcance también al ejercicio de la acción contemplada en el título IV de la misma ley.</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Ello así, concluyó, porque no encontrándose previsto normativamente el plazo para impugnar judicialmente decisiones como las aquí cuestionadas, no quedaría asegurado el buen orden ni la eficacia de la gestión del interés público, si no se contara con el mecanismo de la caducidad para definir, con prontitud, la validez de tales decisiones.</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La recurrente se agravia, en primer término, por entender que el a quo ha vuelto sobre una cuestión precluida como lo era la habilitación de la instancia. Añade a ello, que el tribunal ha incurrido en una contradicción al sostener por una parte que la mencionada defensa debía tratarse como una excepción de previo y especial pronunciamiento, para luego resolverla una vez tramitando el proceso.</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Se queja también por la aplicación efectuada del art. 25 de la ley de procedimientos administrativos, con remisión a los fundamentos de un fallo plenario cuyas circunstancias fácticas son ajenas a las planteadas en esta causa.</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Discrepa también, con el alcance otorgado por la cámara al art. 2°, inc. a) de la ley 19.549, toda vez que la referida norma alude al procedimiento aplicable a los regímenes especiales que subsisten, que fueron señalados por el dec. 9101/72 y en el cual no se indica a la ley 19.101 entre aquellos a los que el primer cuerpo normativo se aplica supletoriamente. Es por ello, agrega, que el art. 2°, inc. b) de la ley 19.549 facultó al Poder Ejecutivo Nacional a dictar los respectivos códigos de procedimientos para los organismos de defensa y de seguridad, no estableciéndose en éstos la supletoriedad mencionada en el inciso anterior.</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Expone el apelante, que al actuar de tal manera, la cámara ha creado un mecanismo de caducidad no previsto por la ley convirtiéndose en legislador y condicionando el ejercicio del derecho de defensa en su parte, con violación de expresas disposiciones constitucionales.</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Por último, afirma que se ha omitido tratar el carácter de acto nulo de nulidad absoluta e insalvable, que le atribuyera en la demanda al decreto cuestionado, extremo que resulta conducente para una correcta solución del caso, dada la imprescriptibilidad de tales actos.</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El agravio expuesto en primer lugar, referido a la arbitrariedad en que habría incurrido el tribunal al volver sobre una cuestión firme como lo era la habilitación de la instancia, no debe merecer acogida, toda vez que no ha existido al respecto un pronunciamiento contrario a un derecho de naturaleza federal oportunamente invocado por el apelante. Así lo pienso, toda vez que ante el planteamiento de su contraparte acerca de la caducidad de la acción, el actor se limitó a señalar la improcedencia del alcance que la demandada pretendía otorgar al art. 25 de la ley 19.549, postura que reiteró en la contestación de agravios de fs. 408/411 sin invocar, en esa oportunidad, la preclusión que ahora trae como sustento de su recurso.</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Distinta solución corresponde, en mi criterio en lo que hace al tema de fondo debatido, es decir a la aplicabilidad en el "sub lite" del referido art. 25 de la ley de procedimientos administrativos. En primer término, punto suscita cuestión federal al encontrarse en juego la inteligencia de normas de igual carácter, como lo son el referido artículo y el art. 2° del mismo cuerpo normativo.</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Sentado ello, debo recordar que el art. 1° de la ley 19.549, exceptúa de manera expresa la aplicación de sus disposiciones al procedimiento administrativo ante los organismos militares, de defensa y seguridad. Por su parte, el art. 2°, inc. a) dispone que su articulado se aplicará en forma supletoria en las tramitaciones administrativas cuyos regímenes especiales subsistan, supuestos éstos, que fueron especificados en el dec. 9101/72, que sólo se refiere a los procedimientos contemplados en las normas que rigen para el personal civil que presta servicios en la Administración Pública y en los organismos militares, de defensa y seguridad e inteligencia.</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Como puede verse, de acuerdo a lo que disponen las normas citadas, estimo que el procedimiento atinente al personal militar y de seguridad, no admite la aplicación supletoria de la ley 19.549, en la forma en que lo ha entendido la cámara, ello, sin dejar de señalar que aun cuando pudiera admitirse tal inteligencia, dicha aplicación no podría extenderse a normas que sujetan a un plazo en extremo breve la extinción del derecho que pretende ejercerse.</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Al respecto, ha señalado el Tribunal con anterioridad, que las leyes deben ser interpretadas considerando armónicamente la totalidad del ordenamiento jurídico y los principios y garantías de raigambre constitucional, para obtener un resultado adecuado, pues la admisión de soluciones notoriamente disvaliosas no resulta compatible con el fin común, tanto de la tarea legislativa como de la judicial (Fallos t. 302; p. 1284 ¬Rev. LA LEY, t. 1981¬A, p. 401¬).</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Por ello, opino que corresponde hacer lugar al recurso extraordinario, revocar el pronunciamiento atacado con el alcance que surge de lo antes expuesto y devolver las actuaciones al tribunal de origen para que, por donde corresponda se dicte uno nuevo con arreglo al presente. ¬ Diciembre 28 de 1987. ¬ Andrés J. D'Alessio.</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Buenos Aires, marzo 10 de 1988.</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Considerando: Que los agravios del apelante reciben adecuado tratamiento en los términos del dictamen del Procurador General, que esta Corte comparte y da por reproducidos en su sentencia por razones de brevedad.</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Por ello, se declara procedente el recurso extraordinario, se deja sin efecto la sentencia con el alcance indicado y se devuelven los autos al tribunal de origen para que, por quien corresponda, proceda al dictado de otro nuevo con arreglo a derecho. Con costas (art. 68, Cód. Procesal Civil y Comercial de la Nación). ¬ Augusto C. Belluscio. ¬ Carlos S. Fayt. ¬ Jorge A. Bacqué.</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9">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